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ЗАШТИТА ЖИВОТНЕ СРЕДИНЕ У ИНДУСТРИЈСКИМ ОБЈЕКТИМА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Контролна листа: ПОСТУПАЊЕ ПРОИЗВОЂАЧА ОПАСНОГ ОТПАДА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eastAsia="Times New Roman" w:hAnsi="Times New Roman"/>
          <w:sz w:val="24"/>
          <w:szCs w:val="24"/>
          <w:lang w:eastAsia="sr-RS" w:val="sr-RS"/>
        </w:rPr>
        <w:t xml:space="preserve">Обавезе </w:t>
      </w: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произвођача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r-RS" w:val="sr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r-RS" w:val="sr-RS"/>
        </w:rPr>
        <w:t xml:space="preserve">опасног отпада према Закону о управљању отпадом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  <w:t xml:space="preserve">Табела А: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sr-RS" w:val="sr-RS"/>
        </w:rPr>
        <w:t>Општи подаци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471"/>
        <w:gridCol w:w="5233"/>
      </w:tblGrid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Општина и место седишта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Број судског регистрационог улошка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(Попунити за установе)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Назив постројења/активности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Општина и место постројења/активности</w:t>
            </w:r>
          </w:p>
        </w:tc>
        <w:tc>
          <w:tcPr>
            <w:tcW w:type="dxa" w:w="5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sz w:val="24"/>
          <w:szCs w:val="24"/>
          <w:lang w:val="sr-RS"/>
        </w:rPr>
        <w:t>Табела Б: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 xml:space="preserve"> Статус правног лица, предузетника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009"/>
        <w:gridCol w:w="2880"/>
      </w:tblGrid>
      <w:tr>
        <w:trPr>
          <w:cantSplit w:val="false"/>
        </w:trPr>
        <w:tc>
          <w:tcPr>
            <w:tcW w:type="dxa" w:w="80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 *</w:t>
            </w:r>
          </w:p>
        </w:tc>
      </w:tr>
      <w:tr>
        <w:trPr>
          <w:cantSplit w:val="false"/>
        </w:trPr>
        <w:tc>
          <w:tcPr>
            <w:tcW w:type="dxa" w:w="544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iCs/>
          <w:smallCaps/>
          <w:sz w:val="24"/>
          <w:szCs w:val="24"/>
          <w:lang w:eastAsia="en-US"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Табела В: Законске обавезе</w:t>
      </w:r>
    </w:p>
    <w:tbl>
      <w:tblPr>
        <w:jc w:val="center"/>
        <w:tblBorders>
          <w:top w:color="00000A" w:space="0" w:sz="4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3660"/>
      </w:tblGrid>
      <w:tr>
        <w:trPr>
          <w:trHeight w:hRule="atLeast" w:val="323"/>
          <w:cantSplit w:val="true"/>
        </w:trPr>
        <w:tc>
          <w:tcPr>
            <w:tcW w:type="dxa" w:w="3660"/>
            <w:gridSpan w:val="3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А) Документација о отпаду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А2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произвођач отпада сачинио План управљања отпадом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А3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План управљања отпадом садржи ставке из члана 15. Закона о управљању отпадом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А4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А5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постоји извештај о испитивању отпада, за сваки отпад који може бити опасан према прописаном каталогу отпада, издат после 18.08.2010.године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9"/>
            </w:pPr>
            <w:r>
              <w:rPr>
                <w:rFonts w:ascii="Segoe UI Symbol" w:cs="Segoe UI Symbol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39"/>
            </w:pPr>
            <w:r>
              <w:rPr>
                <w:rFonts w:ascii="Segoe UI Symbol" w:cs="Segoe UI Symbol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39"/>
            </w:pPr>
            <w:r>
              <w:rPr>
                <w:rFonts w:ascii="Segoe UI Symbol" w:cs="Segoe UI Symbol" w:hAnsi="Segoe UI Symbol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47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А6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обновљен извештај о испитивању отпада ако је дошло до промене технологије, порекла сировине и других активности које утичу на промену карактера отпада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187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А7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произвођач отпада поседује Документе о кретању опасног отпада који су потписани од стране примаоца отпада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А8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је произвођач отпада предавао опасан отпад само лицима која су овлашћена за управљање том врстом предатог отпада, тог индексног броја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А9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произвођач отпада достављао претходно обавештење о кретању опасног отпада, уносом података у информациони систем Агенције за заштиту животне средине, 48 часова пре започињања његовог кретања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А10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је за сваку предају опасног отпада достављен Документ о кретању опасног отпада, уносом података у информациони систем Агенције за заштиту животне средине, у року од 15 дана од завршетка кретања отпада 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     </w:t>
            </w:r>
          </w:p>
        </w:tc>
      </w:tr>
      <w:tr>
        <w:trPr>
          <w:trHeight w:hRule="atLeast" w:val="151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А11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за сваку врсту опасног отпада Агенцији за заштиту животне средине достављен Образац ГИО 1 -Годишњи извештај о отпаду произвођача отпада, уношењем у информациони систем Националног регистра извора загађивања и у папирној форми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ru-RU"/>
              </w:rPr>
              <w:t>,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потписан и оверен, у року до 31. марта текуће године за претходну годину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</w:p>
        </w:tc>
      </w:tr>
      <w:tr>
        <w:trPr>
          <w:trHeight w:hRule="atLeast" w:val="467"/>
          <w:cantSplit w:val="true"/>
        </w:trPr>
        <w:tc>
          <w:tcPr>
            <w:tcW w:type="dxa" w:w="530"/>
            <w:tcBorders>
              <w:top w:color="000001" w:space="0" w:sz="6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А12</w:t>
            </w:r>
          </w:p>
        </w:tc>
        <w:tc>
          <w:tcPr>
            <w:tcW w:type="dxa" w:w="6668"/>
            <w:tcBorders>
              <w:top w:color="000001" w:space="0" w:sz="6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произвођач отпада, за све врсте опасног отпада води евиденцију на Обрасцу ДЕО 1-Дневна евиденција о отпаду произвођача отпада </w:t>
            </w:r>
          </w:p>
        </w:tc>
        <w:tc>
          <w:tcPr>
            <w:tcW w:type="dxa" w:w="3782"/>
            <w:tcBorders>
              <w:top w:color="000001" w:space="0" w:sz="6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103"/>
          <w:cantSplit w:val="true"/>
        </w:trPr>
        <w:tc>
          <w:tcPr>
            <w:tcW w:type="dxa" w:w="366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60" w:before="6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Б) Привремено складиштење опасног отпада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Б1</w:t>
            </w:r>
          </w:p>
        </w:tc>
        <w:tc>
          <w:tcPr>
            <w:tcW w:type="dxa" w:w="6668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се све количине опасног отпада сакупљају и привремено складиште у објекту посебно изграђенoм за ту намену, технички опремљенoм за привремено чување отпада, у складу са  законом и подзаконским актима којима се уређује планирање и изградња </w:t>
            </w:r>
          </w:p>
        </w:tc>
        <w:tc>
          <w:tcPr>
            <w:tcW w:type="dxa" w:w="3782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Б2</w:t>
            </w:r>
          </w:p>
        </w:tc>
        <w:tc>
          <w:tcPr>
            <w:tcW w:type="dxa" w:w="6668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је складиште опасног отпада ограђено ради спречавања приступа неовлашћеним лицима и физички обезбеђено</w:t>
            </w:r>
          </w:p>
        </w:tc>
        <w:tc>
          <w:tcPr>
            <w:tcW w:type="dxa" w:w="3782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Б3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је складиште опасног отпада закључано и под сталним надзором 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Б4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складиште опасног отпада има довољно места за лак и слободан приступ ускладиштеном опасном отпаду ради контроле, препакивања, мерења, узорковања, транспорта и друго 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332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Б5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Да ли су посуде за складиштење опасног отпада у течном стању обезбеђене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Б6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Ако се у складишту опасног отпада складишти (и) отпадно уље, да ли је подлога на којој се складишти отпадно уље стабилна, отпорна на агресивне материје и непропусна за уље и воду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329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Б7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Ако је у складишту опасног отпада складиштено (и) отпадно уље, да ли то складиште има систем за потпуни контролисани прихват зауљене атмосферске воде са свих површина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1132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Б8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Ако је у складишту опасног отпада складиштено (и) отпадно уље да ли то складиште има сепаратор уља и масти, за предтретман прихваћене зауљене атмосферске воде, и да ли се сепаратор редовно празни и одржава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Б9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 ли су све количине опасног отпада упаковане у посуде које су отпорне на отпад и технички исправне, без корозије и другог оштећења које може довести до цурења отпада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Б10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Arial" w:hAnsi="Arial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</w:t>
            </w:r>
            <w:r>
              <w:rPr>
                <w:rFonts w:ascii="Arial" w:hAnsi="Arial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ли су све посуде за складиштење опасног отпада затворене и израђене од материјала који обезбеђује непропустљивост са одговарајућом заштитом од атмосферског утицаја 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Б11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све количине опасног отпада обележене видљиво и јасно, одговарајућим налепницама које садрже све прописане податке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mbria Math" w:hAnsi="Times New Roman"/>
                <w:sz w:val="24"/>
                <w:szCs w:val="24"/>
                <w:lang w:eastAsia="ru-RU" w:val="sr-RS"/>
              </w:rPr>
              <w:t xml:space="preserve"> </w:t>
            </w:r>
          </w:p>
        </w:tc>
      </w:tr>
      <w:tr>
        <w:trPr>
          <w:trHeight w:hRule="atLeast" w:val="593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Б12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</w:t>
            </w:r>
            <w:r>
              <w:rPr>
                <w:rFonts w:ascii="Times New Roman" w:cs="Times New Roman" w:eastAsia="Cambria Math" w:hAnsi="Times New Roman"/>
                <w:sz w:val="24"/>
                <w:szCs w:val="24"/>
                <w:lang w:eastAsia="ru-RU" w:val="sr-RS"/>
              </w:rPr>
              <w:t>произвођач отпада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складишти неку врсту и количину опасног отпада дуже од 12 месеци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526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Б13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се врши мешање различитих категорија опасног отпада (Y ознака) или мешање опасног отпада са неопасним отпадом, другим супстанцама и материјама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</w:p>
        </w:tc>
      </w:tr>
      <w:tr>
        <w:trPr>
          <w:trHeight w:hRule="atLeast" w:val="692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Б14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се врши разблаживање опасног отпада ради испуштања у животну средину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340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Б15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eastAsia="Cambria Math" w:hAnsi="Times New Roman"/>
                <w:sz w:val="24"/>
                <w:szCs w:val="24"/>
                <w:lang w:eastAsia="ru-RU" w:val="sr-RS"/>
              </w:rPr>
              <w:t>Да ли се опасан отпад одлаже на локацији која не испуњава техничке, технолошке и друге прописане услове или се одлаже заједно са неопасним и инертним отпадом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  <w:tr>
        <w:trPr>
          <w:trHeight w:hRule="atLeast" w:val="1232"/>
          <w:cantSplit w:val="true"/>
        </w:trPr>
        <w:tc>
          <w:tcPr>
            <w:tcW w:type="dxa" w:w="53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Arial" w:hAnsi="Times New Roman"/>
                <w:sz w:val="24"/>
                <w:szCs w:val="24"/>
                <w:lang w:eastAsia="ru-RU" w:val="sr-RS"/>
              </w:rPr>
              <w:t>Б16</w:t>
            </w:r>
          </w:p>
        </w:tc>
        <w:tc>
          <w:tcPr>
            <w:tcW w:type="dxa" w:w="666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 xml:space="preserve">Да ли се на локацији налазе уређаји који садрже ПЦБ материје или се претпоставља да садрже </w:t>
            </w:r>
          </w:p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 xml:space="preserve">(НАПОМЕНА: Када је одговор „Да“, за питања у вези ових уређаја треба користити и другу контролну листу) </w:t>
            </w:r>
          </w:p>
        </w:tc>
        <w:tc>
          <w:tcPr>
            <w:tcW w:type="dxa" w:w="378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both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Да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lang w:eastAsia="ru-RU" w:val="sr-R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sr-RS"/>
              </w:rPr>
              <w:t>Није применљиво</w:t>
            </w:r>
          </w:p>
        </w:tc>
      </w:tr>
    </w:tbl>
    <w:p>
      <w:pPr>
        <w:pStyle w:val="style0"/>
        <w:spacing w:after="0" w:before="0" w:line="100" w:lineRule="atLeast"/>
      </w:pPr>
      <w:bookmarkStart w:id="0" w:name="_Toc178427149"/>
      <w:bookmarkStart w:id="1" w:name="_Toc178427149"/>
      <w:bookmarkEnd w:id="1"/>
      <w:r>
        <w:rPr>
          <w:rFonts w:ascii="Times New Roman" w:cs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w w:val="90"/>
          <w:sz w:val="24"/>
          <w:szCs w:val="24"/>
          <w:lang w:val="sr-RS"/>
        </w:rPr>
      </w:r>
    </w:p>
    <w:tbl>
      <w:tblPr>
        <w:jc w:val="left"/>
        <w:tblInd w:type="dxa" w:w="-110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380"/>
        <w:gridCol w:w="0"/>
      </w:tblGrid>
      <w:tr>
        <w:trPr>
          <w:cantSplit w:val="false"/>
        </w:trPr>
        <w:tc>
          <w:tcPr>
            <w:tcW w:type="dxa" w:w="738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правног лица, предузетника, друго лице:</w:t>
            </w:r>
          </w:p>
        </w:tc>
        <w:tc>
          <w:tcPr>
            <w:tcW w:type="dxa" w:w="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:</w:t>
            </w:r>
          </w:p>
        </w:tc>
      </w:tr>
      <w:tr>
        <w:trPr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type="dxa" w:w="4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type="dxa" w:w="3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rPr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4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4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en-US"/>
              </w:rPr>
            </w:r>
          </w:p>
        </w:tc>
        <w:tc>
          <w:tcPr>
            <w:tcW w:type="dxa" w:w="3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41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en-US"/>
              </w:rPr>
            </w:r>
          </w:p>
        </w:tc>
        <w:tc>
          <w:tcPr>
            <w:tcW w:type="dxa" w:w="3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trHeight w:hRule="atLeast" w:val="354"/>
          <w:cantSplit w:val="false"/>
        </w:trPr>
        <w:tc>
          <w:tcPr>
            <w:tcW w:type="dxa" w:w="369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 на терену: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369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Број записника, уз који се прилаже контролна листа: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418" w:footer="709" w:gutter="0" w:header="709" w:left="1418" w:right="1418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</w:t>
    </w:r>
    <w:r>
      <w:rPr/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Arial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Arial" w:hAnsi="Times New Roman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Arial" w:hAnsi="Times New Roman"/>
        <w:lang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Arial" w:hAnsi="Times New Roman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en-US"/>
      </w:rPr>
      <w:t>Шифра: КЛ-07-01/02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bookmarkStart w:id="2" w:name="_GoBack"/>
    <w:bookmarkEnd w:id="2"/>
    <w:r>
      <w:rPr>
        <w:rFonts w:ascii="Times New Roman" w:cs="Times New Roman" w:eastAsia="Times New Roman" w:hAnsi="Times New Roman"/>
        <w:b/>
        <w:sz w:val="24"/>
        <w:szCs w:val="24"/>
      </w:rPr>
      <w:t>27.12.2019.</w:t>
    </w:r>
  </w:p>
  <w:p>
    <w:pPr>
      <w:pStyle w:val="style33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next w:val="style18"/>
    <w:rPr>
      <w:rFonts w:ascii="Wingdings" w:cs="Wingdings" w:hAnsi="Wingdings"/>
      <w:sz w:val="16"/>
      <w:szCs w:val="16"/>
      <w:lang w:eastAsia="en-US"/>
    </w:rPr>
  </w:style>
  <w:style w:styleId="style19" w:type="character">
    <w:name w:val="annotation reference"/>
    <w:next w:val="style19"/>
    <w:rPr>
      <w:sz w:val="16"/>
      <w:szCs w:val="16"/>
    </w:rPr>
  </w:style>
  <w:style w:styleId="style20" w:type="character">
    <w:name w:val="Comment Text Char"/>
    <w:next w:val="style20"/>
    <w:rPr>
      <w:lang w:eastAsia="en-US"/>
    </w:rPr>
  </w:style>
  <w:style w:styleId="style21" w:type="character">
    <w:name w:val="Comment Subject Char"/>
    <w:next w:val="style21"/>
    <w:rPr>
      <w:b/>
      <w:bCs/>
      <w:lang w:eastAsia="en-US"/>
    </w:rPr>
  </w:style>
  <w:style w:styleId="style22" w:type="character">
    <w:name w:val="ListLabel 1"/>
    <w:next w:val="style22"/>
    <w:rPr>
      <w:b w:val="false"/>
    </w:rPr>
  </w:style>
  <w:style w:styleId="style23" w:type="character">
    <w:name w:val="ListLabel 2"/>
    <w:next w:val="style23"/>
    <w:rPr>
      <w:b w:val="false"/>
      <w:i w:val="false"/>
    </w:rPr>
  </w:style>
  <w:style w:styleId="style24" w:type="character">
    <w:name w:val="ListLabel 3"/>
    <w:next w:val="style24"/>
    <w:rPr>
      <w:rFonts w:cs="Courier New"/>
    </w:rPr>
  </w:style>
  <w:style w:styleId="style25" w:type="character">
    <w:name w:val="ListLabel 4"/>
    <w:next w:val="style25"/>
    <w:rPr>
      <w:rFonts w:cs="Times New Roman" w:eastAsia="Calibri"/>
    </w:rPr>
  </w:style>
  <w:style w:styleId="style26" w:type="character">
    <w:name w:val="ListLabel 5"/>
    <w:next w:val="style26"/>
    <w:rPr>
      <w:rFonts w:cs="Arial" w:eastAsia="Times New Roman"/>
    </w:rPr>
  </w:style>
  <w:style w:styleId="style27" w:type="character">
    <w:name w:val="ListLabel 6"/>
    <w:next w:val="style27"/>
    <w:rPr>
      <w:rFonts w:cs="Times New Roman" w:eastAsia="Times New Roman"/>
    </w:rPr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"/>
    <w:basedOn w:val="style29"/>
    <w:next w:val="style30"/>
    <w:pPr/>
    <w:rPr>
      <w:rFonts w:cs="Mangal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Mangal"/>
    </w:rPr>
  </w:style>
  <w:style w:styleId="style33" w:type="paragraph">
    <w:name w:val="Header"/>
    <w:basedOn w:val="style0"/>
    <w:next w:val="style33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4" w:type="paragraph">
    <w:name w:val="Footer"/>
    <w:basedOn w:val="style0"/>
    <w:next w:val="style3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5" w:type="paragraph">
    <w:name w:val="Balloon Text"/>
    <w:basedOn w:val="style0"/>
    <w:next w:val="style35"/>
    <w:pPr>
      <w:spacing w:after="0" w:before="0" w:line="100" w:lineRule="atLeast"/>
    </w:pPr>
    <w:rPr>
      <w:rFonts w:ascii="Wingdings" w:cs="Times New Roman" w:hAnsi="Wingdings"/>
      <w:sz w:val="16"/>
      <w:szCs w:val="16"/>
      <w:lang w:val="en-US"/>
    </w:rPr>
  </w:style>
  <w:style w:styleId="style36" w:type="paragraph">
    <w:name w:val="List Paragraph"/>
    <w:basedOn w:val="style0"/>
    <w:next w:val="style36"/>
    <w:pPr>
      <w:spacing w:after="0" w:before="0" w:line="100" w:lineRule="atLeast"/>
      <w:ind w:hanging="0" w:left="720" w:right="0"/>
    </w:pPr>
    <w:rPr>
      <w:rFonts w:ascii="Calibri" w:cs="Calibri" w:eastAsia="Arial" w:hAnsi="Calibri"/>
      <w:color w:val="000000"/>
      <w:sz w:val="24"/>
      <w:szCs w:val="24"/>
      <w:lang w:val="en-US"/>
    </w:rPr>
  </w:style>
  <w:style w:styleId="style37" w:type="paragraph">
    <w:name w:val="annotation text"/>
    <w:basedOn w:val="style0"/>
    <w:next w:val="style37"/>
    <w:pPr/>
    <w:rPr>
      <w:rFonts w:cs="Times New Roman"/>
      <w:sz w:val="20"/>
      <w:szCs w:val="20"/>
      <w:lang w:val="en-US"/>
    </w:rPr>
  </w:style>
  <w:style w:styleId="style38" w:type="paragraph">
    <w:name w:val="annotation subject"/>
    <w:basedOn w:val="style37"/>
    <w:next w:val="style38"/>
    <w:pPr/>
    <w:rPr>
      <w:b/>
      <w:bCs/>
    </w:rPr>
  </w:style>
  <w:style w:styleId="style39" w:type="paragraph">
    <w:name w:val="No Spacing"/>
    <w:next w:val="style39"/>
    <w:pPr>
      <w:widowControl/>
      <w:tabs>
        <w:tab w:leader="none" w:pos="720" w:val="left"/>
      </w:tabs>
      <w:suppressAutoHyphens w:val="true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2019-12-18T11:25:00.00Z</dcterms:created>
  <dc:creator>Jelena Stankovic</dc:creator>
  <cp:lastModifiedBy>Jelena Dj. Golubovic</cp:lastModifiedBy>
  <cp:lastPrinted>2019-04-10T12:29:00.00Z</cp:lastPrinted>
  <dcterms:modified xsi:type="dcterms:W3CDTF">2019-12-30T13:58:00.00Z</dcterms:modified>
  <cp:revision>4</cp:revision>
</cp:coreProperties>
</file>